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982F00" w:rsidRPr="00982F00" w:rsidRDefault="00C22A9C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>ANEXO 8</w:t>
      </w:r>
      <w:r w:rsidR="00982F00" w:rsidRPr="00982F00">
        <w:rPr>
          <w:rFonts w:ascii="Arial" w:hAnsi="Arial" w:cs="Arial"/>
          <w:b/>
          <w:sz w:val="28"/>
          <w:szCs w:val="28"/>
          <w:lang w:val="es-MX"/>
        </w:rPr>
        <w:t xml:space="preserve"> </w:t>
      </w:r>
    </w:p>
    <w:p w:rsidR="004A0A0C" w:rsidRDefault="00543949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  <w:r w:rsidRPr="00982F00">
        <w:rPr>
          <w:rFonts w:ascii="Arial" w:hAnsi="Arial" w:cs="Arial"/>
          <w:b/>
          <w:sz w:val="28"/>
          <w:szCs w:val="28"/>
          <w:lang w:val="es-MX"/>
        </w:rPr>
        <w:t xml:space="preserve"> </w:t>
      </w:r>
      <w:r w:rsidR="00F07172">
        <w:rPr>
          <w:rFonts w:ascii="Arial" w:hAnsi="Arial" w:cs="Arial"/>
          <w:b/>
          <w:sz w:val="28"/>
          <w:szCs w:val="28"/>
          <w:lang w:val="es-MX"/>
        </w:rPr>
        <w:t xml:space="preserve">Disposiciones </w:t>
      </w:r>
      <w:r w:rsidRPr="00982F00">
        <w:rPr>
          <w:rFonts w:ascii="Arial" w:hAnsi="Arial" w:cs="Arial"/>
          <w:b/>
          <w:sz w:val="28"/>
          <w:szCs w:val="28"/>
          <w:lang w:val="es-MX"/>
        </w:rPr>
        <w:t xml:space="preserve">para </w:t>
      </w:r>
      <w:r w:rsidR="00F07172">
        <w:rPr>
          <w:rFonts w:ascii="Arial" w:hAnsi="Arial" w:cs="Arial"/>
          <w:b/>
          <w:sz w:val="28"/>
          <w:szCs w:val="28"/>
          <w:lang w:val="es-MX"/>
        </w:rPr>
        <w:t>p</w:t>
      </w:r>
      <w:r w:rsidR="0096571D">
        <w:rPr>
          <w:rFonts w:ascii="Arial" w:hAnsi="Arial" w:cs="Arial"/>
          <w:b/>
          <w:sz w:val="28"/>
          <w:szCs w:val="28"/>
          <w:lang w:val="es-MX"/>
        </w:rPr>
        <w:t xml:space="preserve">royectos, </w:t>
      </w:r>
      <w:r w:rsidR="00F07172">
        <w:rPr>
          <w:rFonts w:ascii="Arial" w:hAnsi="Arial" w:cs="Arial"/>
          <w:b/>
          <w:sz w:val="28"/>
          <w:szCs w:val="28"/>
          <w:lang w:val="es-MX"/>
        </w:rPr>
        <w:t>o</w:t>
      </w:r>
      <w:r w:rsidR="002C1D25">
        <w:rPr>
          <w:rFonts w:ascii="Arial" w:hAnsi="Arial" w:cs="Arial"/>
          <w:b/>
          <w:sz w:val="28"/>
          <w:szCs w:val="28"/>
          <w:lang w:val="es-MX"/>
        </w:rPr>
        <w:t>bras</w:t>
      </w:r>
      <w:r w:rsidR="0096571D" w:rsidRPr="00982F00">
        <w:rPr>
          <w:rFonts w:ascii="Arial" w:hAnsi="Arial" w:cs="Arial"/>
          <w:b/>
          <w:sz w:val="28"/>
          <w:szCs w:val="28"/>
          <w:lang w:val="es-MX"/>
        </w:rPr>
        <w:t xml:space="preserve"> </w:t>
      </w:r>
      <w:r w:rsidR="00F07172">
        <w:rPr>
          <w:rFonts w:ascii="Arial" w:hAnsi="Arial" w:cs="Arial"/>
          <w:b/>
          <w:sz w:val="28"/>
          <w:szCs w:val="28"/>
          <w:lang w:val="es-MX"/>
        </w:rPr>
        <w:t>o a</w:t>
      </w:r>
      <w:r w:rsidRPr="00982F00">
        <w:rPr>
          <w:rFonts w:ascii="Arial" w:hAnsi="Arial" w:cs="Arial"/>
          <w:b/>
          <w:sz w:val="28"/>
          <w:szCs w:val="28"/>
          <w:lang w:val="es-MX"/>
        </w:rPr>
        <w:t>ctividades que requieran Regularizarse mediante Estudios Ambientales (Estudios de Impacto Ambiental, Estudios Complementarios, Actualizaciones de Planes de Manejo Ambiental) dentro de Áreas Especiales para la Conservación y Áreas Protegidas</w:t>
      </w: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543949">
      <w:pPr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00059D" w:rsidRDefault="0000059D" w:rsidP="004A396E">
      <w:pPr>
        <w:rPr>
          <w:rFonts w:ascii="Arial" w:hAnsi="Arial" w:cs="Arial"/>
          <w:b/>
          <w:sz w:val="28"/>
          <w:szCs w:val="28"/>
          <w:lang w:val="es-MX"/>
        </w:rPr>
      </w:pPr>
    </w:p>
    <w:p w:rsidR="0063498E" w:rsidRPr="00982F00" w:rsidRDefault="0063498E" w:rsidP="004A396E">
      <w:pPr>
        <w:rPr>
          <w:rFonts w:ascii="Arial" w:hAnsi="Arial" w:cs="Arial"/>
          <w:b/>
          <w:sz w:val="28"/>
          <w:szCs w:val="2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3"/>
        <w:gridCol w:w="953"/>
        <w:gridCol w:w="1332"/>
        <w:gridCol w:w="1684"/>
        <w:gridCol w:w="1276"/>
        <w:gridCol w:w="1416"/>
        <w:gridCol w:w="6150"/>
      </w:tblGrid>
      <w:tr w:rsidR="00543949" w:rsidRPr="00543949" w:rsidTr="004A396E">
        <w:trPr>
          <w:trHeight w:val="300"/>
        </w:trPr>
        <w:tc>
          <w:tcPr>
            <w:tcW w:w="1183" w:type="dxa"/>
            <w:vMerge w:val="restart"/>
            <w:shd w:val="clear" w:color="auto" w:fill="BDD6EE" w:themeFill="accent1" w:themeFillTint="66"/>
            <w:vAlign w:val="center"/>
            <w:hideMark/>
          </w:tcPr>
          <w:p w:rsidR="00543949" w:rsidRPr="006A5638" w:rsidRDefault="00543949" w:rsidP="006A5638">
            <w:pPr>
              <w:jc w:val="center"/>
              <w:rPr>
                <w:b/>
                <w:bCs/>
                <w:sz w:val="24"/>
                <w:szCs w:val="24"/>
              </w:rPr>
            </w:pPr>
            <w:r w:rsidRPr="006A5638">
              <w:rPr>
                <w:b/>
                <w:bCs/>
                <w:sz w:val="24"/>
                <w:szCs w:val="24"/>
              </w:rPr>
              <w:lastRenderedPageBreak/>
              <w:t>Área Protegida</w:t>
            </w:r>
          </w:p>
        </w:tc>
        <w:tc>
          <w:tcPr>
            <w:tcW w:w="6661" w:type="dxa"/>
            <w:gridSpan w:val="5"/>
            <w:shd w:val="clear" w:color="auto" w:fill="BDD6EE" w:themeFill="accent1" w:themeFillTint="66"/>
            <w:vAlign w:val="center"/>
            <w:hideMark/>
          </w:tcPr>
          <w:p w:rsidR="00543949" w:rsidRPr="006A5638" w:rsidRDefault="00543949" w:rsidP="006A5638">
            <w:pPr>
              <w:jc w:val="center"/>
              <w:rPr>
                <w:b/>
                <w:bCs/>
                <w:sz w:val="24"/>
                <w:szCs w:val="24"/>
              </w:rPr>
            </w:pPr>
            <w:r w:rsidRPr="006A5638">
              <w:rPr>
                <w:b/>
                <w:bCs/>
                <w:sz w:val="24"/>
                <w:szCs w:val="24"/>
              </w:rPr>
              <w:t>Áreas Especiales para la Conservación de la Biodiversidad</w:t>
            </w:r>
          </w:p>
        </w:tc>
        <w:tc>
          <w:tcPr>
            <w:tcW w:w="6150" w:type="dxa"/>
            <w:vMerge w:val="restart"/>
            <w:shd w:val="clear" w:color="auto" w:fill="BDD6EE" w:themeFill="accent1" w:themeFillTint="66"/>
            <w:vAlign w:val="center"/>
            <w:hideMark/>
          </w:tcPr>
          <w:p w:rsidR="00543949" w:rsidRPr="006A5638" w:rsidRDefault="00AE066E" w:rsidP="006A56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Disposiciones</w:t>
            </w:r>
            <w:r w:rsidR="00543949" w:rsidRPr="006A5638">
              <w:rPr>
                <w:b/>
                <w:bCs/>
                <w:sz w:val="24"/>
                <w:szCs w:val="24"/>
              </w:rPr>
              <w:t xml:space="preserve"> para su aplicación cuando ameri</w:t>
            </w:r>
            <w:r>
              <w:rPr>
                <w:b/>
                <w:bCs/>
                <w:sz w:val="24"/>
                <w:szCs w:val="24"/>
              </w:rPr>
              <w:t>te en las particularidades del</w:t>
            </w:r>
            <w:r w:rsidR="00543949" w:rsidRPr="006A5638">
              <w:rPr>
                <w:b/>
                <w:bCs/>
                <w:sz w:val="24"/>
                <w:szCs w:val="24"/>
              </w:rPr>
              <w:t xml:space="preserve"> proyecto, obra o actividad.</w:t>
            </w:r>
          </w:p>
        </w:tc>
      </w:tr>
      <w:tr w:rsidR="00543949" w:rsidRPr="00543949" w:rsidTr="004A396E">
        <w:trPr>
          <w:trHeight w:val="920"/>
        </w:trPr>
        <w:tc>
          <w:tcPr>
            <w:tcW w:w="1183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Áreas reconocidas por instrumentos internacionales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43949">
              <w:rPr>
                <w:b/>
                <w:bCs/>
                <w:sz w:val="20"/>
                <w:szCs w:val="20"/>
              </w:rPr>
              <w:t>ratificados por el Estado</w:t>
            </w:r>
          </w:p>
        </w:tc>
        <w:tc>
          <w:tcPr>
            <w:tcW w:w="1684" w:type="dxa"/>
            <w:vMerge w:val="restart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Zonas de amortiguamiento</w:t>
            </w:r>
          </w:p>
        </w:tc>
        <w:tc>
          <w:tcPr>
            <w:tcW w:w="1276" w:type="dxa"/>
            <w:vMerge w:val="restart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Corredores de conectividad</w:t>
            </w:r>
          </w:p>
        </w:tc>
        <w:tc>
          <w:tcPr>
            <w:tcW w:w="1416" w:type="dxa"/>
            <w:vMerge w:val="restart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Servidumbres ecológicas</w:t>
            </w:r>
          </w:p>
        </w:tc>
        <w:tc>
          <w:tcPr>
            <w:tcW w:w="6150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43949" w:rsidRPr="00543949" w:rsidTr="004A396E">
        <w:trPr>
          <w:trHeight w:val="70"/>
        </w:trPr>
        <w:tc>
          <w:tcPr>
            <w:tcW w:w="1183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RAMSAR</w:t>
            </w:r>
          </w:p>
        </w:tc>
        <w:tc>
          <w:tcPr>
            <w:tcW w:w="1332" w:type="dxa"/>
            <w:shd w:val="clear" w:color="auto" w:fill="BDD6EE" w:themeFill="accent1" w:themeFillTint="66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  <w:r w:rsidRPr="00543949">
              <w:rPr>
                <w:b/>
                <w:bCs/>
                <w:sz w:val="20"/>
                <w:szCs w:val="20"/>
              </w:rPr>
              <w:t>RESERVAS DE BIOSFERA</w:t>
            </w:r>
          </w:p>
        </w:tc>
        <w:tc>
          <w:tcPr>
            <w:tcW w:w="1684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0" w:type="dxa"/>
            <w:vMerge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43949" w:rsidRPr="00543949" w:rsidTr="004A396E">
        <w:trPr>
          <w:trHeight w:val="90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El levantamiento de la información biótica (línea base de especies de vida silvestre) se deberá realizar conforme a las áreas de intervención de los proyectos (área geográfica y área de implantación). Los puntos de muestreo bióticos, deberán ubicarse en las zonas más cercanas de los sitios de construcción y operación del proyecto, obra o actividad.</w:t>
            </w:r>
          </w:p>
        </w:tc>
      </w:tr>
      <w:tr w:rsidR="00543949" w:rsidRPr="00543949" w:rsidTr="004A396E">
        <w:trPr>
          <w:trHeight w:val="90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0" w:type="dxa"/>
            <w:vAlign w:val="center"/>
            <w:hideMark/>
          </w:tcPr>
          <w:p w:rsidR="00543949" w:rsidRPr="00543949" w:rsidRDefault="006A5638" w:rsidP="006A56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Los, p</w:t>
            </w:r>
            <w:r w:rsidR="00543949" w:rsidRPr="00543949">
              <w:rPr>
                <w:sz w:val="20"/>
                <w:szCs w:val="20"/>
              </w:rPr>
              <w:t>royectos</w:t>
            </w:r>
            <w:r>
              <w:rPr>
                <w:sz w:val="20"/>
                <w:szCs w:val="20"/>
              </w:rPr>
              <w:t>, o</w:t>
            </w:r>
            <w:r w:rsidRPr="00543949">
              <w:rPr>
                <w:sz w:val="20"/>
                <w:szCs w:val="20"/>
              </w:rPr>
              <w:t>bras</w:t>
            </w:r>
            <w:r>
              <w:rPr>
                <w:sz w:val="20"/>
                <w:szCs w:val="20"/>
              </w:rPr>
              <w:t xml:space="preserve"> o a</w:t>
            </w:r>
            <w:r w:rsidR="00543949" w:rsidRPr="00543949">
              <w:rPr>
                <w:sz w:val="20"/>
                <w:szCs w:val="20"/>
              </w:rPr>
              <w:t xml:space="preserve">ctividades a regularizarse, deberán guardar concordancia con lo establecido en el Marco Estatutario de la Red Mundial de Reservas de Biósfera, de manera esencial con lo estipulado en el Art. 4, </w:t>
            </w:r>
            <w:proofErr w:type="spellStart"/>
            <w:r w:rsidR="00543949" w:rsidRPr="00543949">
              <w:rPr>
                <w:sz w:val="20"/>
                <w:szCs w:val="20"/>
              </w:rPr>
              <w:t>Num</w:t>
            </w:r>
            <w:proofErr w:type="spellEnd"/>
            <w:r w:rsidR="00D46D26">
              <w:rPr>
                <w:sz w:val="20"/>
                <w:szCs w:val="20"/>
              </w:rPr>
              <w:t>.</w:t>
            </w:r>
            <w:r w:rsidR="00543949" w:rsidRPr="00543949">
              <w:rPr>
                <w:sz w:val="20"/>
                <w:szCs w:val="20"/>
              </w:rPr>
              <w:t xml:space="preserve"> 5, en el cual se indica las finalidades de las zonas núcleo, tampón y exterior.</w:t>
            </w:r>
          </w:p>
        </w:tc>
      </w:tr>
      <w:tr w:rsidR="00543949" w:rsidRPr="00543949" w:rsidTr="004A396E">
        <w:trPr>
          <w:trHeight w:val="120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Para la caracterización de la línea base relati</w:t>
            </w:r>
            <w:r w:rsidR="00585E63">
              <w:rPr>
                <w:sz w:val="20"/>
                <w:szCs w:val="20"/>
              </w:rPr>
              <w:t>va a la flora y fauna silvestre</w:t>
            </w:r>
            <w:r w:rsidRPr="00543949">
              <w:rPr>
                <w:sz w:val="20"/>
                <w:szCs w:val="20"/>
              </w:rPr>
              <w:t>, se requiere autorización de investigación por parte de la Autoridad Ambiental Nacional, cuando implique la recolección de especímenes o muestras, proceso que se realiza en el Sistema de Información de Biodiversidad SIB: http://biodiversidad.ambiente.gob.ec:8099/biodiversidad-web/login.xhtml</w:t>
            </w:r>
            <w:r w:rsidRPr="00543949">
              <w:rPr>
                <w:sz w:val="20"/>
                <w:szCs w:val="20"/>
              </w:rPr>
              <w:br/>
              <w:t>En los anexos, se debe incluir el permiso de recolección de especies de vida silvestre, emitida por la Autoridad Ambiental Nacional.</w:t>
            </w:r>
          </w:p>
        </w:tc>
      </w:tr>
      <w:tr w:rsidR="00543949" w:rsidRPr="00543949" w:rsidTr="00A12AD6">
        <w:trPr>
          <w:trHeight w:val="559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03BBB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Para la caracterización de la línea base relativa a la flora y fauna silvestre en Áreas Especiales para la Conservación de la Bi</w:t>
            </w:r>
            <w:r w:rsidR="006A5638">
              <w:rPr>
                <w:sz w:val="20"/>
                <w:szCs w:val="20"/>
              </w:rPr>
              <w:t>odiversidad, siempre que el p</w:t>
            </w:r>
            <w:r w:rsidRPr="00543949">
              <w:rPr>
                <w:sz w:val="20"/>
                <w:szCs w:val="20"/>
              </w:rPr>
              <w:t>royecto</w:t>
            </w:r>
            <w:r w:rsidR="006A5638">
              <w:rPr>
                <w:sz w:val="20"/>
                <w:szCs w:val="20"/>
              </w:rPr>
              <w:t>, obra</w:t>
            </w:r>
            <w:r w:rsidRPr="00543949">
              <w:rPr>
                <w:sz w:val="20"/>
                <w:szCs w:val="20"/>
              </w:rPr>
              <w:t xml:space="preserve"> o Actividad no se encuentre dentro del Sistema Nacional de Áreas Protegidas, no se requiere autorización de investigación por parte de la Autoridad Ambienta</w:t>
            </w:r>
            <w:r w:rsidR="00603BBB">
              <w:rPr>
                <w:sz w:val="20"/>
                <w:szCs w:val="20"/>
              </w:rPr>
              <w:t>l Nacional, salvo el caso que el proyecto, obra o a</w:t>
            </w:r>
            <w:r w:rsidRPr="00543949">
              <w:rPr>
                <w:sz w:val="20"/>
                <w:szCs w:val="20"/>
              </w:rPr>
              <w:t xml:space="preserve">ctividad implique la recolección de especímenes o muestras. </w:t>
            </w:r>
            <w:r w:rsidRPr="00543949">
              <w:rPr>
                <w:sz w:val="20"/>
                <w:szCs w:val="20"/>
              </w:rPr>
              <w:br/>
            </w:r>
            <w:r w:rsidRPr="00543949">
              <w:rPr>
                <w:sz w:val="20"/>
                <w:szCs w:val="20"/>
              </w:rPr>
              <w:lastRenderedPageBreak/>
              <w:t>En los anexos, se debe incluir el permiso de recolección de especies de vida silvestre, emitida por la Autoridad Ambiental Nacional.</w:t>
            </w:r>
          </w:p>
        </w:tc>
      </w:tr>
      <w:tr w:rsidR="00543949" w:rsidRPr="00543949" w:rsidTr="004A396E">
        <w:trPr>
          <w:trHeight w:val="135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Para el desarrollo de un proyecto, obra o actividad  se requiere identificar e incluir en el Estudio de Impacto Ambiental, todos los impactos negativos en contra de la Vida Silvestre (acogiéndose al Catálogo de Amenazas y Presiones a la Vida Silvestre) que puedan ser generados por la construcción y operación del proyecto; y deberán incluir medidas para prevenir, evitar, mitigar, controlar, corregir, compensar, restaurar y reparar dichos impactos, en el Plan de Manejo Ambiental, dentro del Plan de prevención y mitigación de impactos ambientales.</w:t>
            </w:r>
          </w:p>
        </w:tc>
      </w:tr>
      <w:tr w:rsidR="00543949" w:rsidRPr="00543949" w:rsidTr="004A396E">
        <w:trPr>
          <w:trHeight w:val="90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Para determinar posibles afectaciones sobre la Vida Silvestre, y a fin de eval</w:t>
            </w:r>
            <w:bookmarkStart w:id="0" w:name="_GoBack"/>
            <w:bookmarkEnd w:id="0"/>
            <w:r w:rsidRPr="00543949">
              <w:rPr>
                <w:sz w:val="20"/>
                <w:szCs w:val="20"/>
              </w:rPr>
              <w:t>uar de manera certera los impactos que se generarían, se debe tomar en cuenta la influencia del proyecto sobre la fragilidad de los ecos</w:t>
            </w:r>
            <w:r w:rsidR="00003D52">
              <w:rPr>
                <w:sz w:val="20"/>
                <w:szCs w:val="20"/>
              </w:rPr>
              <w:t>istemas donde se ubicará el p</w:t>
            </w:r>
            <w:r w:rsidRPr="00543949">
              <w:rPr>
                <w:sz w:val="20"/>
                <w:szCs w:val="20"/>
              </w:rPr>
              <w:t>royecto</w:t>
            </w:r>
            <w:r w:rsidR="00003D52">
              <w:rPr>
                <w:sz w:val="20"/>
                <w:szCs w:val="20"/>
              </w:rPr>
              <w:t>, obra o a</w:t>
            </w:r>
            <w:r w:rsidRPr="00543949">
              <w:rPr>
                <w:sz w:val="20"/>
                <w:szCs w:val="20"/>
              </w:rPr>
              <w:t>ctividad.  Considerar el TÍTULO VII ECOSISTEMAS FRÁGILES CAPÍTULO I del RCOA.</w:t>
            </w:r>
          </w:p>
        </w:tc>
      </w:tr>
      <w:tr w:rsidR="00543949" w:rsidRPr="00543949" w:rsidTr="004A396E">
        <w:trPr>
          <w:trHeight w:val="274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En el Plan de Manejo del Estudio de Impacto Ambiental correspondiente, medidas complementarias a la normativa ambiental vigente, como las siguientes salvaguardas ambientales entre otras, para el caso que aplique: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La conservación de puentes de dosel naturales.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El montaje y mantenimiento de puentes de dosel artificiales.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La implementación y mantenimiento de pasos deprimidos en los diferentes accesos.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Preservación de áreas  como: saladeros, bebederos, sitios de anidación y reproducción, madrigueras, áreas de uso de fauna silvestre, comederos, áreas de percha, etc.)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 xml:space="preserve">Preservación de especímenes vegetales relevantes (especies raras, únicas, de gran tamaño o de interés biológico, cultural y </w:t>
            </w:r>
            <w:proofErr w:type="spellStart"/>
            <w:r w:rsidRPr="00543949">
              <w:rPr>
                <w:sz w:val="20"/>
                <w:szCs w:val="20"/>
              </w:rPr>
              <w:t>ecosistémico</w:t>
            </w:r>
            <w:proofErr w:type="spellEnd"/>
            <w:r w:rsidRPr="00543949">
              <w:rPr>
                <w:sz w:val="20"/>
                <w:szCs w:val="20"/>
              </w:rPr>
              <w:t>)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Revegetación de las áreas intervenidas con especies nativas de la zona.</w:t>
            </w:r>
          </w:p>
          <w:p w:rsidR="00543949" w:rsidRPr="00543949" w:rsidRDefault="009D1FFE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Atenuar los</w:t>
            </w:r>
            <w:r w:rsidR="00543949" w:rsidRPr="00543949">
              <w:rPr>
                <w:sz w:val="20"/>
                <w:szCs w:val="20"/>
              </w:rPr>
              <w:t xml:space="preserve"> niveles de ruido y vibración al ambiente</w:t>
            </w:r>
            <w:r>
              <w:rPr>
                <w:sz w:val="20"/>
                <w:szCs w:val="20"/>
              </w:rPr>
              <w:t xml:space="preserve"> en caso que supere los L</w:t>
            </w:r>
            <w:r w:rsidR="006A716A">
              <w:rPr>
                <w:sz w:val="20"/>
                <w:szCs w:val="20"/>
              </w:rPr>
              <w:t xml:space="preserve">ímites </w:t>
            </w:r>
            <w:r>
              <w:rPr>
                <w:sz w:val="20"/>
                <w:szCs w:val="20"/>
              </w:rPr>
              <w:t>M</w:t>
            </w:r>
            <w:r w:rsidR="006A716A">
              <w:rPr>
                <w:sz w:val="20"/>
                <w:szCs w:val="20"/>
              </w:rPr>
              <w:t xml:space="preserve">áximos </w:t>
            </w:r>
            <w:r>
              <w:rPr>
                <w:sz w:val="20"/>
                <w:szCs w:val="20"/>
              </w:rPr>
              <w:t>P</w:t>
            </w:r>
            <w:r w:rsidR="001C401C">
              <w:rPr>
                <w:sz w:val="20"/>
                <w:szCs w:val="20"/>
              </w:rPr>
              <w:t>ermisibles</w:t>
            </w:r>
            <w:r w:rsidR="006A716A">
              <w:rPr>
                <w:sz w:val="20"/>
                <w:szCs w:val="20"/>
              </w:rPr>
              <w:t xml:space="preserve"> (LMP)</w:t>
            </w:r>
            <w:r w:rsidR="00543949" w:rsidRPr="00543949">
              <w:rPr>
                <w:sz w:val="20"/>
                <w:szCs w:val="20"/>
              </w:rPr>
              <w:t>.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lastRenderedPageBreak/>
              <w:t>Implementación de accesos ecológicos.</w:t>
            </w:r>
          </w:p>
          <w:p w:rsidR="00543949" w:rsidRPr="00543949" w:rsidRDefault="00543949" w:rsidP="006A5638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Uso de tecnología de punta.</w:t>
            </w:r>
          </w:p>
        </w:tc>
      </w:tr>
      <w:tr w:rsidR="00543949" w:rsidRPr="00543949" w:rsidTr="004A396E">
        <w:trPr>
          <w:trHeight w:val="1800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2C6EA7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En los Procesos de Parti</w:t>
            </w:r>
            <w:r w:rsidR="006E02F8">
              <w:rPr>
                <w:sz w:val="20"/>
                <w:szCs w:val="20"/>
              </w:rPr>
              <w:t>cipación Ciudadana,  debe</w:t>
            </w:r>
            <w:r w:rsidRPr="00543949">
              <w:rPr>
                <w:sz w:val="20"/>
                <w:szCs w:val="20"/>
              </w:rPr>
              <w:t xml:space="preserve"> invita</w:t>
            </w:r>
            <w:r w:rsidR="002C6EA7">
              <w:rPr>
                <w:sz w:val="20"/>
                <w:szCs w:val="20"/>
              </w:rPr>
              <w:t>rse</w:t>
            </w:r>
            <w:r w:rsidRPr="00543949">
              <w:rPr>
                <w:sz w:val="20"/>
                <w:szCs w:val="20"/>
              </w:rPr>
              <w:t xml:space="preserve"> </w:t>
            </w:r>
            <w:r w:rsidR="006E02F8">
              <w:rPr>
                <w:sz w:val="20"/>
                <w:szCs w:val="20"/>
              </w:rPr>
              <w:t xml:space="preserve">a </w:t>
            </w:r>
            <w:r w:rsidRPr="00543949">
              <w:rPr>
                <w:sz w:val="20"/>
                <w:szCs w:val="20"/>
              </w:rPr>
              <w:t>los siguientes actores:</w:t>
            </w:r>
            <w:r w:rsidRPr="00543949">
              <w:rPr>
                <w:sz w:val="20"/>
                <w:szCs w:val="20"/>
              </w:rPr>
              <w:br/>
              <w:t>- En Reservas de Biósfera, los Comités de Gestión de las reservas</w:t>
            </w:r>
            <w:r w:rsidRPr="00543949">
              <w:rPr>
                <w:sz w:val="20"/>
                <w:szCs w:val="20"/>
              </w:rPr>
              <w:br/>
              <w:t>- En las Zonas de Amortiguamiento, los representantes de los Gobiernos Autónomos Descentralizados y los Administradores de las Áreas Protegidas, así como los representantes de las áreas protegidas dependiendo del Subsistema del que se trate, y,</w:t>
            </w:r>
            <w:r w:rsidRPr="00543949">
              <w:rPr>
                <w:sz w:val="20"/>
                <w:szCs w:val="20"/>
              </w:rPr>
              <w:br/>
              <w:t>- En el caso de las Servidumbres Ecológicas, los representantes de las  servidumbres ecológicas voluntarias y de las servidumbres ecológicas obligatorias. COA. Art. 61.</w:t>
            </w:r>
          </w:p>
        </w:tc>
      </w:tr>
      <w:tr w:rsidR="00543949" w:rsidRPr="00543949" w:rsidTr="004A396E">
        <w:trPr>
          <w:trHeight w:val="885"/>
        </w:trPr>
        <w:tc>
          <w:tcPr>
            <w:tcW w:w="118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332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684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1416" w:type="dxa"/>
            <w:vAlign w:val="center"/>
            <w:hideMark/>
          </w:tcPr>
          <w:p w:rsidR="00543949" w:rsidRPr="00543949" w:rsidRDefault="00543949" w:rsidP="006A5638">
            <w:pPr>
              <w:jc w:val="center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>X</w:t>
            </w:r>
          </w:p>
        </w:tc>
        <w:tc>
          <w:tcPr>
            <w:tcW w:w="6150" w:type="dxa"/>
            <w:vAlign w:val="center"/>
            <w:hideMark/>
          </w:tcPr>
          <w:p w:rsidR="00543949" w:rsidRPr="00543949" w:rsidRDefault="00543949" w:rsidP="006A5638">
            <w:pPr>
              <w:jc w:val="both"/>
              <w:rPr>
                <w:sz w:val="20"/>
                <w:szCs w:val="20"/>
              </w:rPr>
            </w:pPr>
            <w:r w:rsidRPr="00543949">
              <w:rPr>
                <w:sz w:val="20"/>
                <w:szCs w:val="20"/>
              </w:rPr>
              <w:t xml:space="preserve">En el Marco Legal de los Estudios de Impacto Ambiental, deben hacer referencia a la normativa más relevante nacional e internacional, relacionada con el Área Especial de Conservación de la Biodiversidad </w:t>
            </w:r>
            <w:r w:rsidR="00F83B10">
              <w:rPr>
                <w:sz w:val="20"/>
                <w:szCs w:val="20"/>
              </w:rPr>
              <w:t>en donde se ubique el p</w:t>
            </w:r>
            <w:r w:rsidRPr="00543949">
              <w:rPr>
                <w:sz w:val="20"/>
                <w:szCs w:val="20"/>
              </w:rPr>
              <w:t>royecto</w:t>
            </w:r>
            <w:r w:rsidR="00F83B10">
              <w:rPr>
                <w:sz w:val="20"/>
                <w:szCs w:val="20"/>
              </w:rPr>
              <w:t>,</w:t>
            </w:r>
            <w:r w:rsidRPr="00543949">
              <w:rPr>
                <w:sz w:val="20"/>
                <w:szCs w:val="20"/>
              </w:rPr>
              <w:t xml:space="preserve"> </w:t>
            </w:r>
            <w:r w:rsidR="00F83B10">
              <w:rPr>
                <w:sz w:val="20"/>
                <w:szCs w:val="20"/>
              </w:rPr>
              <w:t xml:space="preserve">obra </w:t>
            </w:r>
            <w:r w:rsidR="00F45589">
              <w:rPr>
                <w:sz w:val="20"/>
                <w:szCs w:val="20"/>
              </w:rPr>
              <w:t>o a</w:t>
            </w:r>
            <w:r w:rsidRPr="00543949">
              <w:rPr>
                <w:sz w:val="20"/>
                <w:szCs w:val="20"/>
              </w:rPr>
              <w:t>ctividad.</w:t>
            </w:r>
          </w:p>
        </w:tc>
      </w:tr>
    </w:tbl>
    <w:p w:rsidR="00543949" w:rsidRPr="00543949" w:rsidRDefault="00543949" w:rsidP="0012551F">
      <w:pPr>
        <w:rPr>
          <w:lang w:val="es-MX"/>
        </w:rPr>
      </w:pPr>
    </w:p>
    <w:sectPr w:rsidR="00543949" w:rsidRPr="00543949" w:rsidSect="000936BC">
      <w:headerReference w:type="default" r:id="rId7"/>
      <w:footerReference w:type="default" r:id="rId8"/>
      <w:pgSz w:w="16838" w:h="11906" w:orient="landscape"/>
      <w:pgMar w:top="1843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532" w:rsidRDefault="00C12532" w:rsidP="00C84458">
      <w:pPr>
        <w:spacing w:after="0" w:line="240" w:lineRule="auto"/>
      </w:pPr>
      <w:r>
        <w:separator/>
      </w:r>
    </w:p>
  </w:endnote>
  <w:endnote w:type="continuationSeparator" w:id="0">
    <w:p w:rsidR="00C12532" w:rsidRDefault="00C12532" w:rsidP="00C8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7E" w:rsidRDefault="0027357E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1312" behindDoc="0" locked="0" layoutInCell="1" allowOverlap="1" wp14:anchorId="5A83A139" wp14:editId="06CCDFFA">
          <wp:simplePos x="0" y="0"/>
          <wp:positionH relativeFrom="margin">
            <wp:align>center</wp:align>
          </wp:positionH>
          <wp:positionV relativeFrom="paragraph">
            <wp:posOffset>-438150</wp:posOffset>
          </wp:positionV>
          <wp:extent cx="10516701" cy="10363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 HOJAS MEMBRE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6701" cy="103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532" w:rsidRDefault="00C12532" w:rsidP="00C84458">
      <w:pPr>
        <w:spacing w:after="0" w:line="240" w:lineRule="auto"/>
      </w:pPr>
      <w:r>
        <w:separator/>
      </w:r>
    </w:p>
  </w:footnote>
  <w:footnote w:type="continuationSeparator" w:id="0">
    <w:p w:rsidR="00C12532" w:rsidRDefault="00C12532" w:rsidP="00C8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458" w:rsidRDefault="0027357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05BE9350" wp14:editId="7B26119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10516701" cy="138405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HOJAS MEMBRE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6701" cy="1384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25EB0"/>
    <w:multiLevelType w:val="hybridMultilevel"/>
    <w:tmpl w:val="93F0E72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58"/>
    <w:rsid w:val="0000059D"/>
    <w:rsid w:val="00003D52"/>
    <w:rsid w:val="00017569"/>
    <w:rsid w:val="000936BC"/>
    <w:rsid w:val="0012551F"/>
    <w:rsid w:val="001C401C"/>
    <w:rsid w:val="0027357E"/>
    <w:rsid w:val="00297523"/>
    <w:rsid w:val="002C1D25"/>
    <w:rsid w:val="002C6EA7"/>
    <w:rsid w:val="004530B6"/>
    <w:rsid w:val="004A0A0C"/>
    <w:rsid w:val="004A396E"/>
    <w:rsid w:val="004E0F03"/>
    <w:rsid w:val="00521FA3"/>
    <w:rsid w:val="00543949"/>
    <w:rsid w:val="00585E63"/>
    <w:rsid w:val="00595202"/>
    <w:rsid w:val="00603BBB"/>
    <w:rsid w:val="006209BC"/>
    <w:rsid w:val="006309D0"/>
    <w:rsid w:val="006309E5"/>
    <w:rsid w:val="0063498E"/>
    <w:rsid w:val="00642F17"/>
    <w:rsid w:val="006A5638"/>
    <w:rsid w:val="006A716A"/>
    <w:rsid w:val="006E02F8"/>
    <w:rsid w:val="008420B5"/>
    <w:rsid w:val="008B515E"/>
    <w:rsid w:val="008C238A"/>
    <w:rsid w:val="00943DC0"/>
    <w:rsid w:val="009564BC"/>
    <w:rsid w:val="00960B7D"/>
    <w:rsid w:val="0096571D"/>
    <w:rsid w:val="00982F00"/>
    <w:rsid w:val="009D1D81"/>
    <w:rsid w:val="009D1FFE"/>
    <w:rsid w:val="009D2474"/>
    <w:rsid w:val="00A12AD6"/>
    <w:rsid w:val="00AE066E"/>
    <w:rsid w:val="00B2017B"/>
    <w:rsid w:val="00B73F56"/>
    <w:rsid w:val="00B866E2"/>
    <w:rsid w:val="00BC4122"/>
    <w:rsid w:val="00C12532"/>
    <w:rsid w:val="00C22A9C"/>
    <w:rsid w:val="00C26E05"/>
    <w:rsid w:val="00C6684A"/>
    <w:rsid w:val="00C84458"/>
    <w:rsid w:val="00C869C6"/>
    <w:rsid w:val="00C925B4"/>
    <w:rsid w:val="00D437D7"/>
    <w:rsid w:val="00D46D26"/>
    <w:rsid w:val="00E709FC"/>
    <w:rsid w:val="00E76166"/>
    <w:rsid w:val="00F07172"/>
    <w:rsid w:val="00F45589"/>
    <w:rsid w:val="00F8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F0470D-3C01-49C9-9CDD-58307190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4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458"/>
  </w:style>
  <w:style w:type="paragraph" w:styleId="Piedepgina">
    <w:name w:val="footer"/>
    <w:basedOn w:val="Normal"/>
    <w:link w:val="PiedepginaCar"/>
    <w:uiPriority w:val="99"/>
    <w:unhideWhenUsed/>
    <w:rsid w:val="00C84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458"/>
  </w:style>
  <w:style w:type="character" w:styleId="Hipervnculo">
    <w:name w:val="Hyperlink"/>
    <w:basedOn w:val="Fuentedeprrafopredeter"/>
    <w:uiPriority w:val="99"/>
    <w:semiHidden/>
    <w:unhideWhenUsed/>
    <w:rsid w:val="004A0A0C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A0A0C"/>
    <w:rPr>
      <w:color w:val="954F72"/>
      <w:u w:val="single"/>
    </w:rPr>
  </w:style>
  <w:style w:type="paragraph" w:customStyle="1" w:styleId="xl65">
    <w:name w:val="xl65"/>
    <w:basedOn w:val="Normal"/>
    <w:rsid w:val="004A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6">
    <w:name w:val="xl66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7">
    <w:name w:val="xl67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8">
    <w:name w:val="xl68"/>
    <w:basedOn w:val="Normal"/>
    <w:rsid w:val="004A0A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es-EC"/>
    </w:rPr>
  </w:style>
  <w:style w:type="paragraph" w:customStyle="1" w:styleId="xl69">
    <w:name w:val="xl69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70">
    <w:name w:val="xl70"/>
    <w:basedOn w:val="Normal"/>
    <w:rsid w:val="004A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71">
    <w:name w:val="xl71"/>
    <w:basedOn w:val="Normal"/>
    <w:rsid w:val="004A0A0C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2">
    <w:name w:val="xl72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3">
    <w:name w:val="xl73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4">
    <w:name w:val="xl74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75">
    <w:name w:val="xl75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76">
    <w:name w:val="xl76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40"/>
      <w:szCs w:val="40"/>
      <w:lang w:eastAsia="es-EC"/>
    </w:rPr>
  </w:style>
  <w:style w:type="paragraph" w:customStyle="1" w:styleId="xl77">
    <w:name w:val="xl77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40"/>
      <w:szCs w:val="40"/>
      <w:lang w:eastAsia="es-EC"/>
    </w:rPr>
  </w:style>
  <w:style w:type="paragraph" w:customStyle="1" w:styleId="xl78">
    <w:name w:val="xl78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9">
    <w:name w:val="xl79"/>
    <w:basedOn w:val="Normal"/>
    <w:rsid w:val="004A0A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0">
    <w:name w:val="xl80"/>
    <w:basedOn w:val="Normal"/>
    <w:rsid w:val="004A0A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1">
    <w:name w:val="xl81"/>
    <w:basedOn w:val="Normal"/>
    <w:rsid w:val="004A0A0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2">
    <w:name w:val="xl82"/>
    <w:basedOn w:val="Normal"/>
    <w:rsid w:val="004A0A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3">
    <w:name w:val="xl83"/>
    <w:basedOn w:val="Normal"/>
    <w:rsid w:val="004A0A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4">
    <w:name w:val="xl84"/>
    <w:basedOn w:val="Normal"/>
    <w:rsid w:val="004A0A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5">
    <w:name w:val="xl85"/>
    <w:basedOn w:val="Normal"/>
    <w:rsid w:val="004A0A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6">
    <w:name w:val="xl86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7">
    <w:name w:val="xl87"/>
    <w:basedOn w:val="Normal"/>
    <w:rsid w:val="004A0A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table" w:styleId="Tablaconcuadrcula">
    <w:name w:val="Table Grid"/>
    <w:basedOn w:val="Tablanormal"/>
    <w:uiPriority w:val="39"/>
    <w:rsid w:val="00125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43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solano del salto dario ismael</dc:creator>
  <cp:keywords/>
  <dc:description/>
  <cp:lastModifiedBy>Cuenta Microsoft</cp:lastModifiedBy>
  <cp:revision>3</cp:revision>
  <dcterms:created xsi:type="dcterms:W3CDTF">2022-08-25T20:29:00Z</dcterms:created>
  <dcterms:modified xsi:type="dcterms:W3CDTF">2022-09-23T22:28:00Z</dcterms:modified>
</cp:coreProperties>
</file>